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B781D6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001FA">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A70E2C">
        <w:rPr>
          <w:rFonts w:cs="Arial"/>
          <w:color w:val="000000"/>
          <w:sz w:val="24"/>
          <w:szCs w:val="24"/>
        </w:rPr>
        <w:t>6163</w:t>
      </w:r>
    </w:p>
    <w:p w14:paraId="2700B07E" w14:textId="1F50916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5001FA">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F87B56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82E8E">
        <w:rPr>
          <w:rFonts w:ascii="Arial" w:hAnsi="Arial"/>
          <w:sz w:val="24"/>
          <w:lang w:val="en-US"/>
        </w:rPr>
        <w:t>6.3.2.1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C7AC36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82E8E">
        <w:rPr>
          <w:rFonts w:ascii="Arial" w:hAnsi="Arial"/>
          <w:sz w:val="24"/>
          <w:lang w:val="en-US"/>
        </w:rPr>
        <w:t>Remaining issues in NR DAPS HO</w:t>
      </w:r>
      <w:r w:rsidR="002B56CA">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273A542B" w:rsidR="00832903" w:rsidRDefault="00772060" w:rsidP="00832903">
      <w:pPr>
        <w:rPr>
          <w:lang w:val="en-US"/>
        </w:rPr>
      </w:pPr>
      <w:r>
        <w:rPr>
          <w:lang w:val="en-US"/>
        </w:rPr>
        <w:t xml:space="preserve">In RAN4#94-e-Bis, </w:t>
      </w:r>
      <w:r w:rsidR="00716F7B">
        <w:rPr>
          <w:lang w:val="en-US"/>
        </w:rPr>
        <w:t xml:space="preserve">further progress was made in NR DAPS HP. However, the discussion on sync vs async definition </w:t>
      </w:r>
      <w:r w:rsidR="00591D12">
        <w:rPr>
          <w:lang w:val="en-US"/>
        </w:rPr>
        <w:t>and the applicable requirements were not concluded with the following captured in the WF</w:t>
      </w:r>
      <w:r>
        <w:rPr>
          <w:lang w:val="en-US"/>
        </w:rPr>
        <w:t xml:space="preserve"> [1]</w:t>
      </w:r>
      <w:r w:rsidR="006F2C34">
        <w:rPr>
          <w:lang w:val="en-US"/>
        </w:rPr>
        <w:t>:</w:t>
      </w:r>
    </w:p>
    <w:p w14:paraId="5A60A9CE" w14:textId="6062E018" w:rsidR="001A072D" w:rsidRDefault="001A072D" w:rsidP="00832903">
      <w:pPr>
        <w:rPr>
          <w:lang w:val="en-US"/>
        </w:rPr>
      </w:pPr>
      <w:r w:rsidRPr="0074147F">
        <w:rPr>
          <w:noProof/>
          <w:lang w:val="en-US" w:eastAsia="zh-CN"/>
        </w:rPr>
        <mc:AlternateContent>
          <mc:Choice Requires="wps">
            <w:drawing>
              <wp:inline distT="0" distB="0" distL="0" distR="0" wp14:anchorId="797928CC" wp14:editId="2C84093B">
                <wp:extent cx="5881420" cy="6162261"/>
                <wp:effectExtent l="0" t="0" r="24130"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162261"/>
                        </a:xfrm>
                        <a:prstGeom prst="rect">
                          <a:avLst/>
                        </a:prstGeom>
                        <a:solidFill>
                          <a:srgbClr val="FFFFFF"/>
                        </a:solidFill>
                        <a:ln w="9525">
                          <a:solidFill>
                            <a:srgbClr val="000000"/>
                          </a:solidFill>
                          <a:miter lim="800000"/>
                          <a:headEnd/>
                          <a:tailEnd/>
                        </a:ln>
                      </wps:spPr>
                      <wps:txbx>
                        <w:txbxContent>
                          <w:p w14:paraId="08BB74A6" w14:textId="77777777" w:rsidR="00CB19C1" w:rsidRPr="00CB19C1" w:rsidRDefault="00CB19C1" w:rsidP="00CB19C1">
                            <w:pPr>
                              <w:numPr>
                                <w:ilvl w:val="0"/>
                                <w:numId w:val="41"/>
                              </w:numPr>
                              <w:tabs>
                                <w:tab w:val="num" w:pos="720"/>
                              </w:tabs>
                              <w:rPr>
                                <w:b/>
                                <w:bCs/>
                                <w:lang w:val="en-US"/>
                              </w:rPr>
                            </w:pPr>
                            <w:r w:rsidRPr="00CB19C1">
                              <w:rPr>
                                <w:b/>
                                <w:bCs/>
                              </w:rPr>
                              <w:t>The followings will be decided in RAN4#-95-e</w:t>
                            </w:r>
                          </w:p>
                          <w:p w14:paraId="1A76B948" w14:textId="77777777" w:rsidR="00CB19C1" w:rsidRPr="00CB19C1" w:rsidRDefault="00CB19C1" w:rsidP="00CB19C1">
                            <w:pPr>
                              <w:numPr>
                                <w:ilvl w:val="1"/>
                                <w:numId w:val="41"/>
                              </w:numPr>
                              <w:tabs>
                                <w:tab w:val="num" w:pos="360"/>
                                <w:tab w:val="num" w:pos="720"/>
                                <w:tab w:val="num" w:pos="1440"/>
                              </w:tabs>
                              <w:rPr>
                                <w:b/>
                                <w:bCs/>
                                <w:lang w:val="en-US"/>
                              </w:rPr>
                            </w:pPr>
                            <w:r w:rsidRPr="00CB19C1">
                              <w:rPr>
                                <w:b/>
                                <w:bCs/>
                              </w:rPr>
                              <w:t>Whether the existing interruption requirements for intra-frequency DAPS HO are only applied for sync scenario.</w:t>
                            </w:r>
                          </w:p>
                          <w:p w14:paraId="2DCE1FE3" w14:textId="1512847A" w:rsidR="00CB19C1" w:rsidRPr="00CB19C1" w:rsidRDefault="00CB19C1" w:rsidP="00CB19C1">
                            <w:pPr>
                              <w:numPr>
                                <w:ilvl w:val="1"/>
                                <w:numId w:val="41"/>
                              </w:numPr>
                              <w:tabs>
                                <w:tab w:val="num" w:pos="360"/>
                                <w:tab w:val="num" w:pos="720"/>
                                <w:tab w:val="num" w:pos="1440"/>
                              </w:tabs>
                              <w:rPr>
                                <w:b/>
                                <w:bCs/>
                                <w:lang w:val="en-US"/>
                              </w:rPr>
                            </w:pPr>
                            <w:r w:rsidRPr="00CB19C1">
                              <w:rPr>
                                <w:b/>
                                <w:bCs/>
                              </w:rPr>
                              <w:t>Whether the existing interruption requirements for intra-band inter-frequency DAPS HO are only applied for sync scenario.</w:t>
                            </w:r>
                          </w:p>
                          <w:p w14:paraId="4F8FC7A6" w14:textId="77777777" w:rsidR="009417AA" w:rsidRPr="009417AA" w:rsidRDefault="009417AA" w:rsidP="009417AA">
                            <w:pPr>
                              <w:numPr>
                                <w:ilvl w:val="0"/>
                                <w:numId w:val="40"/>
                              </w:numPr>
                              <w:tabs>
                                <w:tab w:val="num" w:pos="720"/>
                              </w:tabs>
                              <w:rPr>
                                <w:rFonts w:eastAsia="Batang"/>
                                <w:b/>
                                <w:lang w:val="en-US" w:eastAsia="zh-CN"/>
                              </w:rPr>
                            </w:pPr>
                            <w:r w:rsidRPr="009417AA">
                              <w:rPr>
                                <w:rFonts w:eastAsia="Batang"/>
                                <w:b/>
                                <w:lang w:eastAsia="zh-CN"/>
                              </w:rPr>
                              <w:t>Side condition for intra-frequency sync DAPS HO:</w:t>
                            </w:r>
                          </w:p>
                          <w:p w14:paraId="59EB091D" w14:textId="77777777" w:rsidR="009417AA" w:rsidRPr="009417AA" w:rsidRDefault="009417AA" w:rsidP="009417AA">
                            <w:pPr>
                              <w:numPr>
                                <w:ilvl w:val="1"/>
                                <w:numId w:val="40"/>
                              </w:numPr>
                              <w:tabs>
                                <w:tab w:val="num" w:pos="1440"/>
                              </w:tabs>
                              <w:rPr>
                                <w:rFonts w:eastAsia="Batang"/>
                                <w:b/>
                                <w:lang w:val="en-US" w:eastAsia="zh-CN"/>
                              </w:rPr>
                            </w:pPr>
                            <w:r w:rsidRPr="009417AA">
                              <w:rPr>
                                <w:rFonts w:eastAsia="Batang"/>
                                <w:b/>
                                <w:lang w:val="en-US" w:eastAsia="zh-CN"/>
                              </w:rPr>
                              <w:t>UE which only support sync DAPS HO shall meet existing DAPS HO requirement as long as:</w:t>
                            </w:r>
                          </w:p>
                          <w:p w14:paraId="28C98743" w14:textId="77777777" w:rsidR="009417AA" w:rsidRPr="009417AA" w:rsidRDefault="009417AA" w:rsidP="009417AA">
                            <w:pPr>
                              <w:numPr>
                                <w:ilvl w:val="2"/>
                                <w:numId w:val="40"/>
                              </w:numPr>
                              <w:tabs>
                                <w:tab w:val="num" w:pos="2160"/>
                              </w:tabs>
                              <w:rPr>
                                <w:rFonts w:eastAsia="Batang"/>
                                <w:b/>
                                <w:lang w:val="en-US" w:eastAsia="zh-CN"/>
                              </w:rPr>
                            </w:pPr>
                            <w:r w:rsidRPr="009417AA">
                              <w:rPr>
                                <w:rFonts w:eastAsia="Batang"/>
                                <w:b/>
                                <w:lang w:val="en-US" w:eastAsia="zh-CN"/>
                              </w:rPr>
                              <w:t>Option 1: it is assumed that source and target cells are co-located.</w:t>
                            </w:r>
                          </w:p>
                          <w:p w14:paraId="5656D421"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 xml:space="preserve">3 us MRTD and 5.21 us MTTD between source and target cells is not exceeded: </w:t>
                            </w:r>
                            <w:r w:rsidRPr="009417AA">
                              <w:rPr>
                                <w:rFonts w:eastAsia="Batang"/>
                                <w:b/>
                                <w:lang w:val="en-US" w:eastAsia="zh-CN"/>
                              </w:rPr>
                              <w:br/>
                              <w:t>Note: If the receive time difference exceeds the cyclic prefix length of that SCS, demodulation performance degradation is expected for the first symbol of the slot.</w:t>
                            </w:r>
                          </w:p>
                          <w:p w14:paraId="5C14D811" w14:textId="77777777" w:rsidR="009417AA" w:rsidRPr="009417AA" w:rsidRDefault="009417AA" w:rsidP="009417AA">
                            <w:pPr>
                              <w:numPr>
                                <w:ilvl w:val="2"/>
                                <w:numId w:val="40"/>
                              </w:numPr>
                              <w:tabs>
                                <w:tab w:val="num" w:pos="2160"/>
                              </w:tabs>
                              <w:rPr>
                                <w:rFonts w:eastAsia="Batang"/>
                                <w:b/>
                                <w:lang w:val="en-US" w:eastAsia="zh-CN"/>
                              </w:rPr>
                            </w:pPr>
                            <w:r w:rsidRPr="009417AA">
                              <w:rPr>
                                <w:rFonts w:eastAsia="Batang"/>
                                <w:b/>
                                <w:lang w:val="en-US" w:eastAsia="zh-CN"/>
                              </w:rPr>
                              <w:t>Option 2: it is assumed that source and target cells can be non-co-located.</w:t>
                            </w:r>
                          </w:p>
                          <w:p w14:paraId="26B1FB77"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33 us MRTD and 34.6 us MTTD between source and target cells is not exceeded</w:t>
                            </w:r>
                            <w:r w:rsidRPr="009417AA">
                              <w:rPr>
                                <w:rFonts w:eastAsia="Batang"/>
                                <w:b/>
                                <w:lang w:val="en-US" w:eastAsia="zh-CN"/>
                              </w:rPr>
                              <w:br/>
                              <w:t>Note: If the receive time difference exceeds the cyclic prefix length of that SCS, demodulation performance degradation is expected for the first symbol of the slot.</w:t>
                            </w:r>
                          </w:p>
                          <w:p w14:paraId="1508BE4E" w14:textId="77777777" w:rsidR="009417AA" w:rsidRPr="009417AA" w:rsidRDefault="009417AA" w:rsidP="009417AA">
                            <w:pPr>
                              <w:numPr>
                                <w:ilvl w:val="2"/>
                                <w:numId w:val="40"/>
                              </w:numPr>
                              <w:tabs>
                                <w:tab w:val="num" w:pos="2160"/>
                              </w:tabs>
                              <w:rPr>
                                <w:rFonts w:eastAsia="Batang"/>
                                <w:b/>
                                <w:lang w:val="en-US" w:eastAsia="zh-CN"/>
                              </w:rPr>
                            </w:pPr>
                            <w:r w:rsidRPr="009417AA">
                              <w:rPr>
                                <w:rFonts w:eastAsia="Batang"/>
                                <w:b/>
                                <w:lang w:val="en-US" w:eastAsia="zh-CN"/>
                              </w:rPr>
                              <w:t>Option 3: specify “Tight Sync” and “Loose Sync” for sync DAPS handover capabilities.</w:t>
                            </w:r>
                          </w:p>
                          <w:p w14:paraId="0B79610C"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 xml:space="preserve">Tight Sync : 3 </w:t>
                            </w:r>
                            <w:proofErr w:type="spellStart"/>
                            <w:r w:rsidRPr="009417AA">
                              <w:rPr>
                                <w:rFonts w:eastAsia="Batang"/>
                                <w:b/>
                                <w:lang w:val="en-US" w:eastAsia="zh-CN"/>
                              </w:rPr>
                              <w:t>us</w:t>
                            </w:r>
                            <w:proofErr w:type="spellEnd"/>
                            <w:r w:rsidRPr="009417AA">
                              <w:rPr>
                                <w:rFonts w:eastAsia="Batang"/>
                                <w:b/>
                                <w:lang w:val="en-US" w:eastAsia="zh-CN"/>
                              </w:rPr>
                              <w:t xml:space="preserve"> MRTD and 5.21 us MTTD between source and target cells is not exceeded: </w:t>
                            </w:r>
                            <w:r w:rsidRPr="009417AA">
                              <w:rPr>
                                <w:rFonts w:eastAsia="Batang"/>
                                <w:b/>
                                <w:lang w:val="en-US" w:eastAsia="zh-CN"/>
                              </w:rPr>
                              <w:br/>
                              <w:t xml:space="preserve">Note: If the receive time difference exceeds the cyclic prefix length of that SCS, demodulation performance degradation is expected for the first symbol of the slot. </w:t>
                            </w:r>
                          </w:p>
                          <w:p w14:paraId="4A8CD15D"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 xml:space="preserve">Loose Sync : 33 </w:t>
                            </w:r>
                            <w:proofErr w:type="spellStart"/>
                            <w:r w:rsidRPr="009417AA">
                              <w:rPr>
                                <w:rFonts w:eastAsia="Batang"/>
                                <w:b/>
                                <w:lang w:val="en-US" w:eastAsia="zh-CN"/>
                              </w:rPr>
                              <w:t>us</w:t>
                            </w:r>
                            <w:proofErr w:type="spellEnd"/>
                            <w:r w:rsidRPr="009417AA">
                              <w:rPr>
                                <w:rFonts w:eastAsia="Batang"/>
                                <w:b/>
                                <w:lang w:val="en-US" w:eastAsia="zh-CN"/>
                              </w:rPr>
                              <w:t xml:space="preserve"> MRTD and 34.6 us MTTD between source and target cells is not exceeded</w:t>
                            </w:r>
                            <w:r w:rsidRPr="009417AA">
                              <w:rPr>
                                <w:rFonts w:eastAsia="Batang"/>
                                <w:b/>
                                <w:lang w:val="en-US" w:eastAsia="zh-CN"/>
                              </w:rPr>
                              <w:br/>
                              <w:t>Note: If the receive time difference exceeds the cyclic prefix length of that SCS, demodulation performance degradation is expected for the first symbol of the slot.</w:t>
                            </w:r>
                          </w:p>
                          <w:p w14:paraId="0C6808EE" w14:textId="77777777" w:rsidR="0097733B" w:rsidRPr="009C5EB9" w:rsidRDefault="0097733B"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48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">
                <v:textbox>
                  <w:txbxContent>
                    <w:p w14:paraId="08BB74A6" w14:textId="77777777" w:rsidR="00CB19C1" w:rsidRPr="00CB19C1" w:rsidRDefault="00CB19C1" w:rsidP="00CB19C1">
                      <w:pPr>
                        <w:numPr>
                          <w:ilvl w:val="0"/>
                          <w:numId w:val="41"/>
                        </w:numPr>
                        <w:tabs>
                          <w:tab w:val="num" w:pos="720"/>
                        </w:tabs>
                        <w:rPr>
                          <w:b/>
                          <w:bCs/>
                          <w:lang w:val="en-US"/>
                        </w:rPr>
                      </w:pPr>
                      <w:r w:rsidRPr="00CB19C1">
                        <w:rPr>
                          <w:b/>
                          <w:bCs/>
                        </w:rPr>
                        <w:t>The followings will be decided in RAN4#-95-e</w:t>
                      </w:r>
                    </w:p>
                    <w:p w14:paraId="1A76B948" w14:textId="77777777" w:rsidR="00CB19C1" w:rsidRPr="00CB19C1" w:rsidRDefault="00CB19C1" w:rsidP="00CB19C1">
                      <w:pPr>
                        <w:numPr>
                          <w:ilvl w:val="1"/>
                          <w:numId w:val="41"/>
                        </w:numPr>
                        <w:tabs>
                          <w:tab w:val="num" w:pos="360"/>
                          <w:tab w:val="num" w:pos="720"/>
                          <w:tab w:val="num" w:pos="1440"/>
                        </w:tabs>
                        <w:rPr>
                          <w:b/>
                          <w:bCs/>
                          <w:lang w:val="en-US"/>
                        </w:rPr>
                      </w:pPr>
                      <w:r w:rsidRPr="00CB19C1">
                        <w:rPr>
                          <w:b/>
                          <w:bCs/>
                        </w:rPr>
                        <w:t>Whether the existing interruption requirements for intra-frequency DAPS HO are only applied for sync scenario.</w:t>
                      </w:r>
                    </w:p>
                    <w:p w14:paraId="2DCE1FE3" w14:textId="1512847A" w:rsidR="00CB19C1" w:rsidRPr="00CB19C1" w:rsidRDefault="00CB19C1" w:rsidP="00CB19C1">
                      <w:pPr>
                        <w:numPr>
                          <w:ilvl w:val="1"/>
                          <w:numId w:val="41"/>
                        </w:numPr>
                        <w:tabs>
                          <w:tab w:val="num" w:pos="360"/>
                          <w:tab w:val="num" w:pos="720"/>
                          <w:tab w:val="num" w:pos="1440"/>
                        </w:tabs>
                        <w:rPr>
                          <w:b/>
                          <w:bCs/>
                          <w:lang w:val="en-US"/>
                        </w:rPr>
                      </w:pPr>
                      <w:r w:rsidRPr="00CB19C1">
                        <w:rPr>
                          <w:b/>
                          <w:bCs/>
                        </w:rPr>
                        <w:t>Whether the existing interruption requirements for intra-band inter-frequency DAPS HO are only applied for sync scenario.</w:t>
                      </w:r>
                    </w:p>
                    <w:p w14:paraId="4F8FC7A6" w14:textId="77777777" w:rsidR="009417AA" w:rsidRPr="009417AA" w:rsidRDefault="009417AA" w:rsidP="009417AA">
                      <w:pPr>
                        <w:numPr>
                          <w:ilvl w:val="0"/>
                          <w:numId w:val="40"/>
                        </w:numPr>
                        <w:tabs>
                          <w:tab w:val="num" w:pos="720"/>
                        </w:tabs>
                        <w:rPr>
                          <w:rFonts w:eastAsia="Batang"/>
                          <w:b/>
                          <w:lang w:val="en-US" w:eastAsia="zh-CN"/>
                        </w:rPr>
                      </w:pPr>
                      <w:r w:rsidRPr="009417AA">
                        <w:rPr>
                          <w:rFonts w:eastAsia="Batang"/>
                          <w:b/>
                          <w:lang w:eastAsia="zh-CN"/>
                        </w:rPr>
                        <w:t>Side condition for intra-frequency sync DAPS HO:</w:t>
                      </w:r>
                    </w:p>
                    <w:p w14:paraId="59EB091D" w14:textId="77777777" w:rsidR="009417AA" w:rsidRPr="009417AA" w:rsidRDefault="009417AA" w:rsidP="009417AA">
                      <w:pPr>
                        <w:numPr>
                          <w:ilvl w:val="1"/>
                          <w:numId w:val="40"/>
                        </w:numPr>
                        <w:tabs>
                          <w:tab w:val="num" w:pos="1440"/>
                        </w:tabs>
                        <w:rPr>
                          <w:rFonts w:eastAsia="Batang"/>
                          <w:b/>
                          <w:lang w:val="en-US" w:eastAsia="zh-CN"/>
                        </w:rPr>
                      </w:pPr>
                      <w:r w:rsidRPr="009417AA">
                        <w:rPr>
                          <w:rFonts w:eastAsia="Batang"/>
                          <w:b/>
                          <w:lang w:val="en-US" w:eastAsia="zh-CN"/>
                        </w:rPr>
                        <w:t>UE which only support sync DAPS HO shall meet existing DAPS HO requirement as long as:</w:t>
                      </w:r>
                    </w:p>
                    <w:p w14:paraId="28C98743" w14:textId="77777777" w:rsidR="009417AA" w:rsidRPr="009417AA" w:rsidRDefault="009417AA" w:rsidP="009417AA">
                      <w:pPr>
                        <w:numPr>
                          <w:ilvl w:val="2"/>
                          <w:numId w:val="40"/>
                        </w:numPr>
                        <w:tabs>
                          <w:tab w:val="num" w:pos="2160"/>
                        </w:tabs>
                        <w:rPr>
                          <w:rFonts w:eastAsia="Batang"/>
                          <w:b/>
                          <w:lang w:val="en-US" w:eastAsia="zh-CN"/>
                        </w:rPr>
                      </w:pPr>
                      <w:r w:rsidRPr="009417AA">
                        <w:rPr>
                          <w:rFonts w:eastAsia="Batang"/>
                          <w:b/>
                          <w:lang w:val="en-US" w:eastAsia="zh-CN"/>
                        </w:rPr>
                        <w:t>Option 1: it is assumed that source and target cells are co-located.</w:t>
                      </w:r>
                    </w:p>
                    <w:p w14:paraId="5656D421"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 xml:space="preserve">3 us MRTD and 5.21 us MTTD between source and target cells is not exceeded: </w:t>
                      </w:r>
                      <w:r w:rsidRPr="009417AA">
                        <w:rPr>
                          <w:rFonts w:eastAsia="Batang"/>
                          <w:b/>
                          <w:lang w:val="en-US" w:eastAsia="zh-CN"/>
                        </w:rPr>
                        <w:br/>
                        <w:t>Note: If the receive time difference exceeds the cyclic prefix length of that SCS, demodulation performance degradation is expected for the first symbol of the slot.</w:t>
                      </w:r>
                    </w:p>
                    <w:p w14:paraId="5C14D811" w14:textId="77777777" w:rsidR="009417AA" w:rsidRPr="009417AA" w:rsidRDefault="009417AA" w:rsidP="009417AA">
                      <w:pPr>
                        <w:numPr>
                          <w:ilvl w:val="2"/>
                          <w:numId w:val="40"/>
                        </w:numPr>
                        <w:tabs>
                          <w:tab w:val="num" w:pos="2160"/>
                        </w:tabs>
                        <w:rPr>
                          <w:rFonts w:eastAsia="Batang"/>
                          <w:b/>
                          <w:lang w:val="en-US" w:eastAsia="zh-CN"/>
                        </w:rPr>
                      </w:pPr>
                      <w:r w:rsidRPr="009417AA">
                        <w:rPr>
                          <w:rFonts w:eastAsia="Batang"/>
                          <w:b/>
                          <w:lang w:val="en-US" w:eastAsia="zh-CN"/>
                        </w:rPr>
                        <w:t>Option 2: it is assumed that source and target cells can be non-co-located.</w:t>
                      </w:r>
                    </w:p>
                    <w:p w14:paraId="26B1FB77"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33 us MRTD and 34.6 us MTTD between source and target cells is not exceeded</w:t>
                      </w:r>
                      <w:r w:rsidRPr="009417AA">
                        <w:rPr>
                          <w:rFonts w:eastAsia="Batang"/>
                          <w:b/>
                          <w:lang w:val="en-US" w:eastAsia="zh-CN"/>
                        </w:rPr>
                        <w:br/>
                        <w:t>Note: If the receive time difference exceeds the cyclic prefix length of that SCS, demodulation performance degradation is expected for the first symbol of the slot.</w:t>
                      </w:r>
                    </w:p>
                    <w:p w14:paraId="1508BE4E" w14:textId="77777777" w:rsidR="009417AA" w:rsidRPr="009417AA" w:rsidRDefault="009417AA" w:rsidP="009417AA">
                      <w:pPr>
                        <w:numPr>
                          <w:ilvl w:val="2"/>
                          <w:numId w:val="40"/>
                        </w:numPr>
                        <w:tabs>
                          <w:tab w:val="num" w:pos="2160"/>
                        </w:tabs>
                        <w:rPr>
                          <w:rFonts w:eastAsia="Batang"/>
                          <w:b/>
                          <w:lang w:val="en-US" w:eastAsia="zh-CN"/>
                        </w:rPr>
                      </w:pPr>
                      <w:r w:rsidRPr="009417AA">
                        <w:rPr>
                          <w:rFonts w:eastAsia="Batang"/>
                          <w:b/>
                          <w:lang w:val="en-US" w:eastAsia="zh-CN"/>
                        </w:rPr>
                        <w:t>Option 3: specify “Tight Sync” and “Loose Sync” for sync DAPS handover capabilities.</w:t>
                      </w:r>
                    </w:p>
                    <w:p w14:paraId="0B79610C"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 xml:space="preserve">Tight Sync : 3 us MRTD and 5.21 us MTTD between source and target cells is not exceeded: </w:t>
                      </w:r>
                      <w:r w:rsidRPr="009417AA">
                        <w:rPr>
                          <w:rFonts w:eastAsia="Batang"/>
                          <w:b/>
                          <w:lang w:val="en-US" w:eastAsia="zh-CN"/>
                        </w:rPr>
                        <w:br/>
                        <w:t xml:space="preserve">Note: If the receive time difference exceeds the cyclic prefix length of that SCS, demodulation performance degradation is expected for the first symbol of the slot. </w:t>
                      </w:r>
                    </w:p>
                    <w:p w14:paraId="4A8CD15D" w14:textId="77777777" w:rsidR="009417AA" w:rsidRPr="009417AA" w:rsidRDefault="009417AA" w:rsidP="009417AA">
                      <w:pPr>
                        <w:numPr>
                          <w:ilvl w:val="3"/>
                          <w:numId w:val="40"/>
                        </w:numPr>
                        <w:tabs>
                          <w:tab w:val="num" w:pos="2880"/>
                        </w:tabs>
                        <w:rPr>
                          <w:rFonts w:eastAsia="Batang"/>
                          <w:b/>
                          <w:lang w:val="en-US" w:eastAsia="zh-CN"/>
                        </w:rPr>
                      </w:pPr>
                      <w:r w:rsidRPr="009417AA">
                        <w:rPr>
                          <w:rFonts w:eastAsia="Batang"/>
                          <w:b/>
                          <w:lang w:val="en-US" w:eastAsia="zh-CN"/>
                        </w:rPr>
                        <w:t>Loose Sync : 33 us MRTD and 34.6 us MTTD between source and target cells is not exceeded</w:t>
                      </w:r>
                      <w:r w:rsidRPr="009417AA">
                        <w:rPr>
                          <w:rFonts w:eastAsia="Batang"/>
                          <w:b/>
                          <w:lang w:val="en-US" w:eastAsia="zh-CN"/>
                        </w:rPr>
                        <w:br/>
                        <w:t>Note: If the receive time difference exceeds the cyclic prefix length of that SCS, demodulation performance degradation is expected for the first symbol of the slot.</w:t>
                      </w:r>
                    </w:p>
                    <w:p w14:paraId="0C6808EE" w14:textId="77777777" w:rsidR="0097733B" w:rsidRPr="009C5EB9" w:rsidRDefault="0097733B" w:rsidP="001A072D">
                      <w:pPr>
                        <w:rPr>
                          <w:rFonts w:eastAsia="Batang"/>
                          <w:b/>
                          <w:lang w:eastAsia="zh-CN"/>
                        </w:rPr>
                      </w:pPr>
                    </w:p>
                  </w:txbxContent>
                </v:textbox>
                <w10:anchorlock/>
              </v:shape>
            </w:pict>
          </mc:Fallback>
        </mc:AlternateContent>
      </w:r>
    </w:p>
    <w:p w14:paraId="4C3BD362" w14:textId="2ADB5B68" w:rsidR="00CB19C1" w:rsidRPr="00832903" w:rsidRDefault="00CB19C1" w:rsidP="00832903">
      <w:pPr>
        <w:rPr>
          <w:lang w:val="en-US"/>
        </w:rPr>
      </w:pPr>
      <w:r>
        <w:rPr>
          <w:lang w:val="en-US"/>
        </w:rPr>
        <w:lastRenderedPageBreak/>
        <w:t>Same options 1-3 are present for intra-band inter-frequency scenario. In this paper, we further discuss these topics.</w:t>
      </w:r>
    </w:p>
    <w:p w14:paraId="530805C1" w14:textId="4BBF35EF" w:rsidR="0005179F" w:rsidRDefault="00C85E54" w:rsidP="00C85E54">
      <w:pPr>
        <w:pStyle w:val="Heading1"/>
        <w:rPr>
          <w:lang w:val="en-US"/>
        </w:rPr>
      </w:pPr>
      <w:r>
        <w:rPr>
          <w:lang w:val="en-US"/>
        </w:rPr>
        <w:t>Discussion</w:t>
      </w:r>
    </w:p>
    <w:p w14:paraId="5A055CD8" w14:textId="040D77B9" w:rsidR="00BF01E7" w:rsidRDefault="00BF01E7" w:rsidP="00BF01E7">
      <w:r>
        <w:t>It is noted that the feasibility discussion that led to [</w:t>
      </w:r>
      <w:r w:rsidR="00D3247C">
        <w:t>2</w:t>
      </w:r>
      <w:r>
        <w:t>] always assumed UE uses its CA capability to establish simultaneous connectivity with source and target cells. Moreover, option 1 clearly assumes different bands between MCG and SCG and as such, it can</w:t>
      </w:r>
      <w:r w:rsidR="00BD1875">
        <w:t>not</w:t>
      </w:r>
      <w:r>
        <w:t xml:space="preserve"> be re-used for intra-frequency or intra-band scenarios of DAPS HO. </w:t>
      </w:r>
    </w:p>
    <w:p w14:paraId="1AC7BDDC" w14:textId="77777777" w:rsidR="00BF01E7" w:rsidRDefault="00BF01E7" w:rsidP="00BF01E7">
      <w:r>
        <w:t xml:space="preserve">In addition, the assumption of 33 </w:t>
      </w:r>
      <w:proofErr w:type="spellStart"/>
      <w:r>
        <w:t>us</w:t>
      </w:r>
      <w:proofErr w:type="spellEnd"/>
      <w:r>
        <w:t xml:space="preserve"> MRTD between source and target cells in intra-frequency or intra-band scenarios is certainly well beyond what is required for TDD bands to function with controlled interference.  </w:t>
      </w:r>
    </w:p>
    <w:p w14:paraId="7BCB7045" w14:textId="5FBF0817" w:rsidR="00BF01E7" w:rsidRDefault="00BF01E7" w:rsidP="00BF01E7">
      <w:pPr>
        <w:rPr>
          <w:b/>
          <w:bCs/>
        </w:rPr>
      </w:pPr>
      <w:r w:rsidRPr="00B26EB9">
        <w:rPr>
          <w:b/>
          <w:bCs/>
        </w:rPr>
        <w:t xml:space="preserve">Observation </w:t>
      </w:r>
      <w:r w:rsidR="00BD1875">
        <w:rPr>
          <w:b/>
          <w:bCs/>
        </w:rPr>
        <w:t>1</w:t>
      </w:r>
      <w:r w:rsidRPr="00B26EB9">
        <w:rPr>
          <w:b/>
          <w:bCs/>
        </w:rPr>
        <w:t xml:space="preserve">. Assumption of 33 </w:t>
      </w:r>
      <w:proofErr w:type="spellStart"/>
      <w:r w:rsidRPr="00B26EB9">
        <w:rPr>
          <w:b/>
          <w:bCs/>
        </w:rPr>
        <w:t>us</w:t>
      </w:r>
      <w:proofErr w:type="spellEnd"/>
      <w:r w:rsidRPr="00B26EB9">
        <w:rPr>
          <w:b/>
          <w:bCs/>
        </w:rPr>
        <w:t xml:space="preserve"> MRTD is specific to inter-band scenarios and is well beyond what is required for intra-frequency or intra-band TDD to function with controlled interference. </w:t>
      </w:r>
    </w:p>
    <w:p w14:paraId="469EEE9E" w14:textId="77777777" w:rsidR="00BF01E7" w:rsidRDefault="00BF01E7" w:rsidP="00BF01E7">
      <w:r>
        <w:t xml:space="preserve">The closest discussion related to simultaneous connectivity to two </w:t>
      </w:r>
      <w:proofErr w:type="spellStart"/>
      <w:r>
        <w:t>gNBs</w:t>
      </w:r>
      <w:proofErr w:type="spellEnd"/>
      <w:r>
        <w:t xml:space="preserve"> that have taken place in different working groups or topics is in e-MIMO WI under the multi-TRP agenda item. We note that RAN1 briefly discussed this issue in RAN1#95 (November 2018) and had the following captured in the chairman meeting notes:</w:t>
      </w:r>
    </w:p>
    <w:p w14:paraId="5A34FE6F" w14:textId="77777777" w:rsidR="00BF01E7" w:rsidRPr="00994AB6" w:rsidRDefault="00BF01E7" w:rsidP="00BF01E7">
      <w:r w:rsidRPr="0074147F">
        <w:rPr>
          <w:noProof/>
          <w:lang w:val="en-US" w:eastAsia="zh-CN"/>
        </w:rPr>
        <mc:AlternateContent>
          <mc:Choice Requires="wps">
            <w:drawing>
              <wp:inline distT="0" distB="0" distL="0" distR="0" wp14:anchorId="6D3D60FA" wp14:editId="66BE55D2">
                <wp:extent cx="5881420" cy="666750"/>
                <wp:effectExtent l="0" t="0" r="2413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66750"/>
                        </a:xfrm>
                        <a:prstGeom prst="rect">
                          <a:avLst/>
                        </a:prstGeom>
                        <a:solidFill>
                          <a:srgbClr val="FFFFFF"/>
                        </a:solidFill>
                        <a:ln w="9525">
                          <a:solidFill>
                            <a:srgbClr val="000000"/>
                          </a:solidFill>
                          <a:miter lim="800000"/>
                          <a:headEnd/>
                          <a:tailEnd/>
                        </a:ln>
                      </wps:spPr>
                      <wps:txbx>
                        <w:txbxContent>
                          <w:p w14:paraId="66F27D05" w14:textId="77777777" w:rsidR="00BF01E7" w:rsidRPr="000C6893" w:rsidRDefault="00BF01E7" w:rsidP="00BF01E7">
                            <w:pPr>
                              <w:numPr>
                                <w:ilvl w:val="0"/>
                                <w:numId w:val="42"/>
                              </w:numPr>
                              <w:spacing w:after="0"/>
                              <w:rPr>
                                <w:rFonts w:eastAsia="Times New Roman"/>
                                <w:lang w:val="en-US"/>
                              </w:rPr>
                            </w:pPr>
                            <w:r w:rsidRPr="000C6893">
                              <w:rPr>
                                <w:rFonts w:eastAsia="Times New Roman"/>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7FB3105D" w14:textId="77777777" w:rsidR="00BF01E7" w:rsidRPr="009C5EB9" w:rsidRDefault="00BF01E7" w:rsidP="00BF01E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D3D60FA" id="Text Box 3" o:spid="_x0000_s1027" type="#_x0000_t202" style="width:463.1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">
                <v:textbox>
                  <w:txbxContent>
                    <w:p w14:paraId="66F27D05" w14:textId="77777777" w:rsidR="00BF01E7" w:rsidRPr="000C6893" w:rsidRDefault="00BF01E7" w:rsidP="00BF01E7">
                      <w:pPr>
                        <w:numPr>
                          <w:ilvl w:val="0"/>
                          <w:numId w:val="42"/>
                        </w:numPr>
                        <w:spacing w:after="0"/>
                        <w:rPr>
                          <w:rFonts w:eastAsia="Times New Roman"/>
                          <w:lang w:val="en-US"/>
                        </w:rPr>
                      </w:pPr>
                      <w:r w:rsidRPr="000C6893">
                        <w:rPr>
                          <w:rFonts w:eastAsia="Times New Roman"/>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7FB3105D" w14:textId="77777777" w:rsidR="00BF01E7" w:rsidRPr="009C5EB9" w:rsidRDefault="00BF01E7" w:rsidP="00BF01E7">
                      <w:pPr>
                        <w:rPr>
                          <w:rFonts w:eastAsia="Batang"/>
                          <w:b/>
                          <w:lang w:eastAsia="zh-CN"/>
                        </w:rPr>
                      </w:pPr>
                    </w:p>
                  </w:txbxContent>
                </v:textbox>
                <w10:anchorlock/>
              </v:shape>
            </w:pict>
          </mc:Fallback>
        </mc:AlternateContent>
      </w:r>
    </w:p>
    <w:p w14:paraId="3E11DCC3" w14:textId="4FBA1C04" w:rsidR="00BF01E7" w:rsidRDefault="00BF01E7" w:rsidP="00BF01E7">
      <w:r>
        <w:t xml:space="preserve">Furthermore, in RAN4 e-MIMO </w:t>
      </w:r>
      <w:proofErr w:type="spellStart"/>
      <w:r>
        <w:t>demod</w:t>
      </w:r>
      <w:proofErr w:type="spellEnd"/>
      <w:r>
        <w:t xml:space="preserve"> discussions, the simulation assumptions have also considered sync offset values smaller than CP length. </w:t>
      </w:r>
    </w:p>
    <w:p w14:paraId="31D1B386" w14:textId="17AED1EE" w:rsidR="00686D66" w:rsidRPr="00480D32" w:rsidRDefault="00686D66" w:rsidP="00BF01E7">
      <w:pPr>
        <w:rPr>
          <w:b/>
          <w:bCs/>
        </w:rPr>
      </w:pPr>
      <w:r w:rsidRPr="00480D32">
        <w:rPr>
          <w:b/>
          <w:bCs/>
        </w:rPr>
        <w:t xml:space="preserve">Observation 2. </w:t>
      </w:r>
      <w:r w:rsidR="00A616C6" w:rsidRPr="00480D32">
        <w:rPr>
          <w:b/>
          <w:bCs/>
        </w:rPr>
        <w:t xml:space="preserve">In multi-TRP where UE simultaneously receives from more than one TRP, the </w:t>
      </w:r>
      <w:r w:rsidR="002F0E42" w:rsidRPr="00480D32">
        <w:rPr>
          <w:b/>
          <w:bCs/>
        </w:rPr>
        <w:t>reception of DL transmission from multiple TRP is within a CP with single/</w:t>
      </w:r>
      <w:r w:rsidR="00480D32" w:rsidRPr="00480D32">
        <w:rPr>
          <w:b/>
          <w:bCs/>
        </w:rPr>
        <w:t xml:space="preserve">multiple FFT windows. </w:t>
      </w:r>
      <w:r w:rsidR="0087220C" w:rsidRPr="00480D32">
        <w:rPr>
          <w:b/>
          <w:bCs/>
        </w:rPr>
        <w:t xml:space="preserve"> </w:t>
      </w:r>
    </w:p>
    <w:p w14:paraId="4E4F0905" w14:textId="6F3E1427" w:rsidR="00BF01E7" w:rsidRDefault="00ED1ADD" w:rsidP="00BF01E7">
      <w:r>
        <w:t xml:space="preserve">The underlying assumption in simultaneous reception for DAPS HO has </w:t>
      </w:r>
      <w:r w:rsidR="00F00C5B">
        <w:t xml:space="preserve">also </w:t>
      </w:r>
      <w:r>
        <w:t>always been single FFT</w:t>
      </w:r>
      <w:r w:rsidR="00F00C5B">
        <w:t xml:space="preserve"> based solution at least for intra-frequency and intra-band inter-frequency scenarios. </w:t>
      </w:r>
      <w:r w:rsidR="00BF01E7">
        <w:t>Based on these observations, it is proposed:</w:t>
      </w:r>
    </w:p>
    <w:p w14:paraId="4919D909" w14:textId="4B95DFDE" w:rsidR="00BF01E7" w:rsidRDefault="00BF01E7" w:rsidP="00BF01E7">
      <w:pPr>
        <w:rPr>
          <w:b/>
          <w:bCs/>
        </w:rPr>
      </w:pPr>
      <w:r w:rsidRPr="004850C2">
        <w:rPr>
          <w:b/>
          <w:bCs/>
        </w:rPr>
        <w:t xml:space="preserve">Proposal </w:t>
      </w:r>
      <w:r w:rsidR="00BD1875">
        <w:rPr>
          <w:b/>
          <w:bCs/>
        </w:rPr>
        <w:t>1</w:t>
      </w:r>
      <w:r w:rsidRPr="004850C2">
        <w:rPr>
          <w:b/>
          <w:bCs/>
        </w:rPr>
        <w:t xml:space="preserve">. Definition of synchronous DAPS HO for intra-frequency or intra-band scenarios shall be based on maximum of 3 </w:t>
      </w:r>
      <w:proofErr w:type="spellStart"/>
      <w:r w:rsidRPr="004850C2">
        <w:rPr>
          <w:b/>
          <w:bCs/>
        </w:rPr>
        <w:t>us</w:t>
      </w:r>
      <w:proofErr w:type="spellEnd"/>
      <w:r w:rsidRPr="004850C2">
        <w:rPr>
          <w:b/>
          <w:bCs/>
        </w:rPr>
        <w:t xml:space="preserve"> MRTD </w:t>
      </w:r>
      <w:r w:rsidR="000E369A">
        <w:rPr>
          <w:b/>
          <w:bCs/>
        </w:rPr>
        <w:t>and 5.2</w:t>
      </w:r>
      <w:r w:rsidR="00686D66">
        <w:rPr>
          <w:b/>
          <w:bCs/>
        </w:rPr>
        <w:t>1</w:t>
      </w:r>
      <w:r w:rsidR="000E369A">
        <w:rPr>
          <w:b/>
          <w:bCs/>
        </w:rPr>
        <w:t xml:space="preserve"> us MTTD </w:t>
      </w:r>
      <w:r w:rsidRPr="004850C2">
        <w:rPr>
          <w:b/>
          <w:bCs/>
        </w:rPr>
        <w:t>between source and target cells.</w:t>
      </w:r>
    </w:p>
    <w:p w14:paraId="1970E93D" w14:textId="77777777" w:rsidR="009D5EB7" w:rsidRDefault="00BF01E7" w:rsidP="00BF01E7">
      <w:r>
        <w:t xml:space="preserve">We acknowledge that max MRTD of 3 us in FDD may not be realistic in some scenarios and due to different cell size and propagation delays, UE can experience a timing difference between source and target cells greater than 3 us. </w:t>
      </w:r>
      <w:r w:rsidR="00F00C5B">
        <w:t xml:space="preserve">However, we also disagree with the analysis from some companies that suggested a propagation delay difference of up to 30 us can be experienced between source and target cells. This is an unrealistic and atypical scenario and implies that UE is ~9km closer to either source or target cell compared to the other. Typical scenarios </w:t>
      </w:r>
      <w:r w:rsidR="00265772">
        <w:t xml:space="preserve">of HO do not result in such large propagation delay differences. </w:t>
      </w:r>
    </w:p>
    <w:p w14:paraId="4061EAAD" w14:textId="77777777" w:rsidR="003A308D" w:rsidRDefault="00B026ED" w:rsidP="00BF01E7">
      <w:r>
        <w:t>We also note that</w:t>
      </w:r>
      <w:r w:rsidR="00BF01E7">
        <w:t xml:space="preserve"> the interruption requirements agreed in intra-frequency or intra-band scenarios can only be applicable when the synchronous definition of Proposal </w:t>
      </w:r>
      <w:r w:rsidR="007E1CD2">
        <w:t>1</w:t>
      </w:r>
      <w:r w:rsidR="00BF01E7">
        <w:t xml:space="preserve"> is satisfied. </w:t>
      </w:r>
      <w:r w:rsidR="007E1CD2">
        <w:t xml:space="preserve">For asynchronous scenario, the same interruption requirements cannot be expected. At the very least, UE requires one additional slot of interruption on top of the synchronous interruption requirements but RAN4 can further discuss whether more interruption is needed. </w:t>
      </w:r>
    </w:p>
    <w:p w14:paraId="1F8F08A7" w14:textId="77777777" w:rsidR="00E5408C" w:rsidRPr="00857B94" w:rsidRDefault="00E5408C" w:rsidP="00E5408C">
      <w:pPr>
        <w:tabs>
          <w:tab w:val="num" w:pos="360"/>
          <w:tab w:val="num" w:pos="720"/>
          <w:tab w:val="num" w:pos="1440"/>
        </w:tabs>
        <w:rPr>
          <w:b/>
          <w:bCs/>
          <w:lang w:val="en-US"/>
        </w:rPr>
      </w:pPr>
      <w:r w:rsidRPr="00C320E1">
        <w:rPr>
          <w:b/>
          <w:bCs/>
        </w:rPr>
        <w:t xml:space="preserve">Proposal 2. The </w:t>
      </w:r>
      <w:r w:rsidRPr="00CB19C1">
        <w:rPr>
          <w:b/>
          <w:bCs/>
        </w:rPr>
        <w:t xml:space="preserve">existing interruption requirements for </w:t>
      </w:r>
      <w:r w:rsidRPr="00C320E1">
        <w:rPr>
          <w:b/>
          <w:bCs/>
        </w:rPr>
        <w:t xml:space="preserve">intra-frequency and </w:t>
      </w:r>
      <w:r w:rsidRPr="00CB19C1">
        <w:rPr>
          <w:b/>
          <w:bCs/>
        </w:rPr>
        <w:t>intra-band inter-frequency DAPS HO are only appl</w:t>
      </w:r>
      <w:r>
        <w:rPr>
          <w:b/>
          <w:bCs/>
        </w:rPr>
        <w:t>icable to</w:t>
      </w:r>
      <w:r w:rsidRPr="00CB19C1">
        <w:rPr>
          <w:b/>
          <w:bCs/>
        </w:rPr>
        <w:t xml:space="preserve"> sync scenario.</w:t>
      </w:r>
    </w:p>
    <w:p w14:paraId="471DEAC9" w14:textId="03360325" w:rsidR="002B69C9" w:rsidRPr="00C320E1" w:rsidRDefault="00BF01E7" w:rsidP="00C85E54">
      <w:r>
        <w:t xml:space="preserve">This, however, does not mean that with greater received timing difference than 3 us, the DAPS HO does not work. RAN4 can specify that in such scenarios, UE is expected to experience a larger interruption time. </w:t>
      </w:r>
    </w:p>
    <w:p w14:paraId="05109B46" w14:textId="01022CC4" w:rsidR="00F2107A" w:rsidRDefault="0032488E" w:rsidP="005D6C7D">
      <w:pPr>
        <w:pStyle w:val="Heading1"/>
        <w:rPr>
          <w:lang w:val="en-US"/>
        </w:rPr>
      </w:pPr>
      <w:r>
        <w:rPr>
          <w:lang w:val="en-US"/>
        </w:rPr>
        <w:t>Con</w:t>
      </w:r>
      <w:r w:rsidR="00F2107A">
        <w:rPr>
          <w:lang w:val="en-US"/>
        </w:rPr>
        <w:t>clusions</w:t>
      </w:r>
    </w:p>
    <w:p w14:paraId="6BCF52DE" w14:textId="77777777" w:rsidR="00C320E1" w:rsidRDefault="00C320E1" w:rsidP="00C320E1">
      <w:pPr>
        <w:rPr>
          <w:b/>
          <w:bCs/>
        </w:rPr>
      </w:pPr>
      <w:r w:rsidRPr="00B26EB9">
        <w:rPr>
          <w:b/>
          <w:bCs/>
        </w:rPr>
        <w:t xml:space="preserve">Observation </w:t>
      </w:r>
      <w:r>
        <w:rPr>
          <w:b/>
          <w:bCs/>
        </w:rPr>
        <w:t>1</w:t>
      </w:r>
      <w:r w:rsidRPr="00B26EB9">
        <w:rPr>
          <w:b/>
          <w:bCs/>
        </w:rPr>
        <w:t xml:space="preserve">. Assumption of 33 </w:t>
      </w:r>
      <w:proofErr w:type="spellStart"/>
      <w:r w:rsidRPr="00B26EB9">
        <w:rPr>
          <w:b/>
          <w:bCs/>
        </w:rPr>
        <w:t>us</w:t>
      </w:r>
      <w:proofErr w:type="spellEnd"/>
      <w:r w:rsidRPr="00B26EB9">
        <w:rPr>
          <w:b/>
          <w:bCs/>
        </w:rPr>
        <w:t xml:space="preserve"> MRTD is specific to inter-band scenarios and is well beyond what is required for intra-frequency or intra-band TDD to function with controlled interference. </w:t>
      </w:r>
    </w:p>
    <w:p w14:paraId="2329920F" w14:textId="77777777" w:rsidR="00857B94" w:rsidRPr="00480D32" w:rsidRDefault="00857B94" w:rsidP="00857B94">
      <w:pPr>
        <w:rPr>
          <w:b/>
          <w:bCs/>
        </w:rPr>
      </w:pPr>
      <w:r w:rsidRPr="00480D32">
        <w:rPr>
          <w:b/>
          <w:bCs/>
        </w:rPr>
        <w:t xml:space="preserve">Observation 2. In multi-TRP where UE simultaneously receives from more than one TRP, the reception of DL transmission from multiple TRP is within a CP with single/multiple FFT windows.  </w:t>
      </w:r>
    </w:p>
    <w:p w14:paraId="61D56352" w14:textId="77777777" w:rsidR="00857B94" w:rsidRDefault="00857B94" w:rsidP="00857B94">
      <w:pPr>
        <w:rPr>
          <w:b/>
          <w:bCs/>
        </w:rPr>
      </w:pPr>
      <w:r w:rsidRPr="004850C2">
        <w:rPr>
          <w:b/>
          <w:bCs/>
        </w:rPr>
        <w:lastRenderedPageBreak/>
        <w:t xml:space="preserve">Proposal </w:t>
      </w:r>
      <w:r>
        <w:rPr>
          <w:b/>
          <w:bCs/>
        </w:rPr>
        <w:t>1</w:t>
      </w:r>
      <w:r w:rsidRPr="004850C2">
        <w:rPr>
          <w:b/>
          <w:bCs/>
        </w:rPr>
        <w:t xml:space="preserve">. Definition of synchronous DAPS HO for intra-frequency or intra-band scenarios shall be based on maximum of 3 </w:t>
      </w:r>
      <w:proofErr w:type="spellStart"/>
      <w:r w:rsidRPr="004850C2">
        <w:rPr>
          <w:b/>
          <w:bCs/>
        </w:rPr>
        <w:t>us</w:t>
      </w:r>
      <w:proofErr w:type="spellEnd"/>
      <w:r w:rsidRPr="004850C2">
        <w:rPr>
          <w:b/>
          <w:bCs/>
        </w:rPr>
        <w:t xml:space="preserve"> MRTD </w:t>
      </w:r>
      <w:r>
        <w:rPr>
          <w:b/>
          <w:bCs/>
        </w:rPr>
        <w:t xml:space="preserve">and 5.21 us MTTD </w:t>
      </w:r>
      <w:r w:rsidRPr="004850C2">
        <w:rPr>
          <w:b/>
          <w:bCs/>
        </w:rPr>
        <w:t>between source and target cells.</w:t>
      </w:r>
    </w:p>
    <w:p w14:paraId="4B7C0144" w14:textId="00B018B8" w:rsidR="00804DAC" w:rsidRPr="00857B94" w:rsidRDefault="00857B94" w:rsidP="00857B94">
      <w:pPr>
        <w:tabs>
          <w:tab w:val="num" w:pos="360"/>
          <w:tab w:val="num" w:pos="720"/>
          <w:tab w:val="num" w:pos="1440"/>
        </w:tabs>
        <w:rPr>
          <w:b/>
          <w:bCs/>
          <w:lang w:val="en-US"/>
        </w:rPr>
      </w:pPr>
      <w:r w:rsidRPr="00C320E1">
        <w:rPr>
          <w:b/>
          <w:bCs/>
        </w:rPr>
        <w:t xml:space="preserve">Proposal 2. The </w:t>
      </w:r>
      <w:r w:rsidR="00CB19C1" w:rsidRPr="00CB19C1">
        <w:rPr>
          <w:b/>
          <w:bCs/>
        </w:rPr>
        <w:t xml:space="preserve">existing interruption requirements for </w:t>
      </w:r>
      <w:r w:rsidRPr="00C320E1">
        <w:rPr>
          <w:b/>
          <w:bCs/>
        </w:rPr>
        <w:t xml:space="preserve">intra-frequency and </w:t>
      </w:r>
      <w:r w:rsidR="00CB19C1" w:rsidRPr="00CB19C1">
        <w:rPr>
          <w:b/>
          <w:bCs/>
        </w:rPr>
        <w:t>intra-band inter-frequency DAPS HO are only appl</w:t>
      </w:r>
      <w:r w:rsidR="00E5408C">
        <w:rPr>
          <w:b/>
          <w:bCs/>
        </w:rPr>
        <w:t>icable to</w:t>
      </w:r>
      <w:r w:rsidR="00CB19C1" w:rsidRPr="00CB19C1">
        <w:rPr>
          <w:b/>
          <w:bCs/>
        </w:rPr>
        <w:t xml:space="preserve"> sync scenario.</w:t>
      </w:r>
    </w:p>
    <w:p w14:paraId="0C633F9D" w14:textId="2FAFCE22" w:rsidR="00797CE5" w:rsidRDefault="00797CE5" w:rsidP="006050F7">
      <w:pPr>
        <w:pStyle w:val="Heading1"/>
        <w:numPr>
          <w:ilvl w:val="0"/>
          <w:numId w:val="0"/>
        </w:numPr>
        <w:rPr>
          <w:lang w:val="en-US"/>
        </w:rPr>
      </w:pPr>
      <w:r>
        <w:rPr>
          <w:lang w:val="en-US"/>
        </w:rPr>
        <w:t>References</w:t>
      </w:r>
    </w:p>
    <w:p w14:paraId="0683BDEE" w14:textId="6F8B5086" w:rsidR="0045046B" w:rsidRDefault="0045046B" w:rsidP="0045046B">
      <w:pPr>
        <w:rPr>
          <w:lang w:val="en-US"/>
        </w:rPr>
      </w:pPr>
      <w:r>
        <w:rPr>
          <w:lang w:val="en-US"/>
        </w:rPr>
        <w:t>[1]</w:t>
      </w:r>
      <w:r w:rsidR="0065354F">
        <w:rPr>
          <w:lang w:val="en-US"/>
        </w:rPr>
        <w:t xml:space="preserve"> R4-</w:t>
      </w:r>
      <w:r w:rsidR="00E6706A">
        <w:rPr>
          <w:lang w:val="en-US"/>
        </w:rPr>
        <w:t>200</w:t>
      </w:r>
      <w:r w:rsidR="000A6064">
        <w:rPr>
          <w:lang w:val="en-US"/>
        </w:rPr>
        <w:t>5</w:t>
      </w:r>
      <w:r w:rsidR="00591D12">
        <w:rPr>
          <w:lang w:val="en-US"/>
        </w:rPr>
        <w:t>305</w:t>
      </w:r>
    </w:p>
    <w:p w14:paraId="7D520735" w14:textId="2BC71E09" w:rsidR="00D3247C" w:rsidRDefault="00D3247C" w:rsidP="00D3247C">
      <w:pPr>
        <w:rPr>
          <w:lang w:val="en-US"/>
        </w:rPr>
      </w:pPr>
      <w:r>
        <w:rPr>
          <w:lang w:val="en-US"/>
        </w:rPr>
        <w:t>[2] R4-1902030</w:t>
      </w:r>
    </w:p>
    <w:p w14:paraId="4E9D22EF" w14:textId="77777777" w:rsidR="00D3247C" w:rsidRPr="0045046B" w:rsidRDefault="00D3247C" w:rsidP="0045046B">
      <w:pPr>
        <w:rPr>
          <w:lang w:val="en-US"/>
        </w:rPr>
      </w:pP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9D6BF" w14:textId="77777777" w:rsidR="00B22257" w:rsidRDefault="00B22257">
      <w:r>
        <w:separator/>
      </w:r>
    </w:p>
  </w:endnote>
  <w:endnote w:type="continuationSeparator" w:id="0">
    <w:p w14:paraId="1C1D566E" w14:textId="77777777" w:rsidR="00B22257" w:rsidRDefault="00B2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F372" w14:textId="77777777" w:rsidR="0076023C" w:rsidRDefault="00760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68158" w14:textId="77777777" w:rsidR="00B22257" w:rsidRDefault="00B22257">
      <w:r>
        <w:separator/>
      </w:r>
    </w:p>
  </w:footnote>
  <w:footnote w:type="continuationSeparator" w:id="0">
    <w:p w14:paraId="144E2166" w14:textId="77777777" w:rsidR="00B22257" w:rsidRDefault="00B2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F8B8B" w14:textId="77777777" w:rsidR="0076023C" w:rsidRDefault="007602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3B19D" w14:textId="77777777" w:rsidR="0076023C" w:rsidRDefault="007602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1D650" w14:textId="77777777" w:rsidR="0076023C" w:rsidRDefault="00760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0111AB"/>
    <w:multiLevelType w:val="hybridMultilevel"/>
    <w:tmpl w:val="E476033A"/>
    <w:lvl w:ilvl="0" w:tplc="11B00CF0">
      <w:start w:val="1"/>
      <w:numFmt w:val="bullet"/>
      <w:lvlText w:val="•"/>
      <w:lvlJc w:val="left"/>
      <w:pPr>
        <w:tabs>
          <w:tab w:val="num" w:pos="360"/>
        </w:tabs>
        <w:ind w:left="360" w:hanging="360"/>
      </w:pPr>
      <w:rPr>
        <w:rFonts w:ascii="Arial" w:hAnsi="Arial" w:hint="default"/>
      </w:rPr>
    </w:lvl>
    <w:lvl w:ilvl="1" w:tplc="CF6A9984">
      <w:numFmt w:val="bullet"/>
      <w:lvlText w:val="o"/>
      <w:lvlJc w:val="left"/>
      <w:pPr>
        <w:tabs>
          <w:tab w:val="num" w:pos="1080"/>
        </w:tabs>
        <w:ind w:left="1080" w:hanging="360"/>
      </w:pPr>
      <w:rPr>
        <w:rFonts w:ascii="Courier New" w:hAnsi="Courier New" w:hint="default"/>
      </w:rPr>
    </w:lvl>
    <w:lvl w:ilvl="2" w:tplc="D73CB99E">
      <w:numFmt w:val="bullet"/>
      <w:lvlText w:val="-"/>
      <w:lvlJc w:val="left"/>
      <w:pPr>
        <w:tabs>
          <w:tab w:val="num" w:pos="1800"/>
        </w:tabs>
        <w:ind w:left="1800" w:hanging="360"/>
      </w:pPr>
      <w:rPr>
        <w:rFonts w:ascii="Times New Roman" w:hAnsi="Times New Roman" w:hint="default"/>
      </w:rPr>
    </w:lvl>
    <w:lvl w:ilvl="3" w:tplc="57DE4322">
      <w:numFmt w:val="bullet"/>
      <w:lvlText w:val="-"/>
      <w:lvlJc w:val="left"/>
      <w:pPr>
        <w:tabs>
          <w:tab w:val="num" w:pos="2520"/>
        </w:tabs>
        <w:ind w:left="2520" w:hanging="360"/>
      </w:pPr>
      <w:rPr>
        <w:rFonts w:ascii="Times New Roman" w:hAnsi="Times New Roman" w:hint="default"/>
      </w:rPr>
    </w:lvl>
    <w:lvl w:ilvl="4" w:tplc="F588EF2A" w:tentative="1">
      <w:start w:val="1"/>
      <w:numFmt w:val="bullet"/>
      <w:lvlText w:val="•"/>
      <w:lvlJc w:val="left"/>
      <w:pPr>
        <w:tabs>
          <w:tab w:val="num" w:pos="3240"/>
        </w:tabs>
        <w:ind w:left="3240" w:hanging="360"/>
      </w:pPr>
      <w:rPr>
        <w:rFonts w:ascii="Arial" w:hAnsi="Arial" w:hint="default"/>
      </w:rPr>
    </w:lvl>
    <w:lvl w:ilvl="5" w:tplc="9E1C4826" w:tentative="1">
      <w:start w:val="1"/>
      <w:numFmt w:val="bullet"/>
      <w:lvlText w:val="•"/>
      <w:lvlJc w:val="left"/>
      <w:pPr>
        <w:tabs>
          <w:tab w:val="num" w:pos="3960"/>
        </w:tabs>
        <w:ind w:left="3960" w:hanging="360"/>
      </w:pPr>
      <w:rPr>
        <w:rFonts w:ascii="Arial" w:hAnsi="Arial" w:hint="default"/>
      </w:rPr>
    </w:lvl>
    <w:lvl w:ilvl="6" w:tplc="5AC2196C" w:tentative="1">
      <w:start w:val="1"/>
      <w:numFmt w:val="bullet"/>
      <w:lvlText w:val="•"/>
      <w:lvlJc w:val="left"/>
      <w:pPr>
        <w:tabs>
          <w:tab w:val="num" w:pos="4680"/>
        </w:tabs>
        <w:ind w:left="4680" w:hanging="360"/>
      </w:pPr>
      <w:rPr>
        <w:rFonts w:ascii="Arial" w:hAnsi="Arial" w:hint="default"/>
      </w:rPr>
    </w:lvl>
    <w:lvl w:ilvl="7" w:tplc="B6648C72" w:tentative="1">
      <w:start w:val="1"/>
      <w:numFmt w:val="bullet"/>
      <w:lvlText w:val="•"/>
      <w:lvlJc w:val="left"/>
      <w:pPr>
        <w:tabs>
          <w:tab w:val="num" w:pos="5400"/>
        </w:tabs>
        <w:ind w:left="5400" w:hanging="360"/>
      </w:pPr>
      <w:rPr>
        <w:rFonts w:ascii="Arial" w:hAnsi="Arial" w:hint="default"/>
      </w:rPr>
    </w:lvl>
    <w:lvl w:ilvl="8" w:tplc="6D769F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92E68"/>
    <w:multiLevelType w:val="hybridMultilevel"/>
    <w:tmpl w:val="EE420C8E"/>
    <w:lvl w:ilvl="0" w:tplc="F3662628">
      <w:start w:val="1"/>
      <w:numFmt w:val="bullet"/>
      <w:lvlText w:val="•"/>
      <w:lvlJc w:val="left"/>
      <w:pPr>
        <w:tabs>
          <w:tab w:val="num" w:pos="360"/>
        </w:tabs>
        <w:ind w:left="360" w:hanging="360"/>
      </w:pPr>
      <w:rPr>
        <w:rFonts w:ascii="Arial" w:hAnsi="Arial" w:hint="default"/>
      </w:rPr>
    </w:lvl>
    <w:lvl w:ilvl="1" w:tplc="122EE6A6">
      <w:numFmt w:val="bullet"/>
      <w:lvlText w:val="•"/>
      <w:lvlJc w:val="left"/>
      <w:pPr>
        <w:tabs>
          <w:tab w:val="num" w:pos="1080"/>
        </w:tabs>
        <w:ind w:left="1080" w:hanging="360"/>
      </w:pPr>
      <w:rPr>
        <w:rFonts w:ascii="Arial" w:hAnsi="Arial" w:hint="default"/>
      </w:rPr>
    </w:lvl>
    <w:lvl w:ilvl="2" w:tplc="E9889A1E" w:tentative="1">
      <w:start w:val="1"/>
      <w:numFmt w:val="bullet"/>
      <w:lvlText w:val="•"/>
      <w:lvlJc w:val="left"/>
      <w:pPr>
        <w:tabs>
          <w:tab w:val="num" w:pos="1800"/>
        </w:tabs>
        <w:ind w:left="1800" w:hanging="360"/>
      </w:pPr>
      <w:rPr>
        <w:rFonts w:ascii="Arial" w:hAnsi="Arial" w:hint="default"/>
      </w:rPr>
    </w:lvl>
    <w:lvl w:ilvl="3" w:tplc="FF46C9B6" w:tentative="1">
      <w:start w:val="1"/>
      <w:numFmt w:val="bullet"/>
      <w:lvlText w:val="•"/>
      <w:lvlJc w:val="left"/>
      <w:pPr>
        <w:tabs>
          <w:tab w:val="num" w:pos="2520"/>
        </w:tabs>
        <w:ind w:left="2520" w:hanging="360"/>
      </w:pPr>
      <w:rPr>
        <w:rFonts w:ascii="Arial" w:hAnsi="Arial" w:hint="default"/>
      </w:rPr>
    </w:lvl>
    <w:lvl w:ilvl="4" w:tplc="E12A8994" w:tentative="1">
      <w:start w:val="1"/>
      <w:numFmt w:val="bullet"/>
      <w:lvlText w:val="•"/>
      <w:lvlJc w:val="left"/>
      <w:pPr>
        <w:tabs>
          <w:tab w:val="num" w:pos="3240"/>
        </w:tabs>
        <w:ind w:left="3240" w:hanging="360"/>
      </w:pPr>
      <w:rPr>
        <w:rFonts w:ascii="Arial" w:hAnsi="Arial" w:hint="default"/>
      </w:rPr>
    </w:lvl>
    <w:lvl w:ilvl="5" w:tplc="7374933A" w:tentative="1">
      <w:start w:val="1"/>
      <w:numFmt w:val="bullet"/>
      <w:lvlText w:val="•"/>
      <w:lvlJc w:val="left"/>
      <w:pPr>
        <w:tabs>
          <w:tab w:val="num" w:pos="3960"/>
        </w:tabs>
        <w:ind w:left="3960" w:hanging="360"/>
      </w:pPr>
      <w:rPr>
        <w:rFonts w:ascii="Arial" w:hAnsi="Arial" w:hint="default"/>
      </w:rPr>
    </w:lvl>
    <w:lvl w:ilvl="6" w:tplc="909C5794" w:tentative="1">
      <w:start w:val="1"/>
      <w:numFmt w:val="bullet"/>
      <w:lvlText w:val="•"/>
      <w:lvlJc w:val="left"/>
      <w:pPr>
        <w:tabs>
          <w:tab w:val="num" w:pos="4680"/>
        </w:tabs>
        <w:ind w:left="4680" w:hanging="360"/>
      </w:pPr>
      <w:rPr>
        <w:rFonts w:ascii="Arial" w:hAnsi="Arial" w:hint="default"/>
      </w:rPr>
    </w:lvl>
    <w:lvl w:ilvl="7" w:tplc="223CDE20" w:tentative="1">
      <w:start w:val="1"/>
      <w:numFmt w:val="bullet"/>
      <w:lvlText w:val="•"/>
      <w:lvlJc w:val="left"/>
      <w:pPr>
        <w:tabs>
          <w:tab w:val="num" w:pos="5400"/>
        </w:tabs>
        <w:ind w:left="5400" w:hanging="360"/>
      </w:pPr>
      <w:rPr>
        <w:rFonts w:ascii="Arial" w:hAnsi="Arial" w:hint="default"/>
      </w:rPr>
    </w:lvl>
    <w:lvl w:ilvl="8" w:tplc="05E0DB8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93493"/>
    <w:multiLevelType w:val="hybridMultilevel"/>
    <w:tmpl w:val="2CEE3246"/>
    <w:lvl w:ilvl="0" w:tplc="006EE676">
      <w:start w:val="1"/>
      <w:numFmt w:val="bullet"/>
      <w:lvlText w:val=""/>
      <w:lvlJc w:val="left"/>
      <w:pPr>
        <w:tabs>
          <w:tab w:val="num" w:pos="720"/>
        </w:tabs>
        <w:ind w:left="720" w:hanging="360"/>
      </w:pPr>
      <w:rPr>
        <w:rFonts w:ascii="Symbol" w:hAnsi="Symbol" w:hint="default"/>
      </w:rPr>
    </w:lvl>
    <w:lvl w:ilvl="1" w:tplc="FC20160A">
      <w:start w:val="189"/>
      <w:numFmt w:val="bullet"/>
      <w:lvlText w:val="o"/>
      <w:lvlJc w:val="left"/>
      <w:pPr>
        <w:tabs>
          <w:tab w:val="num" w:pos="1440"/>
        </w:tabs>
        <w:ind w:left="1440" w:hanging="360"/>
      </w:pPr>
      <w:rPr>
        <w:rFonts w:ascii="Courier New" w:hAnsi="Courier New" w:cs="Times New Roman" w:hint="default"/>
      </w:rPr>
    </w:lvl>
    <w:lvl w:ilvl="2" w:tplc="BF886852">
      <w:start w:val="1"/>
      <w:numFmt w:val="bullet"/>
      <w:lvlText w:val=""/>
      <w:lvlJc w:val="left"/>
      <w:pPr>
        <w:tabs>
          <w:tab w:val="num" w:pos="2160"/>
        </w:tabs>
        <w:ind w:left="2160" w:hanging="360"/>
      </w:pPr>
      <w:rPr>
        <w:rFonts w:ascii="Symbol" w:hAnsi="Symbol" w:hint="default"/>
      </w:rPr>
    </w:lvl>
    <w:lvl w:ilvl="3" w:tplc="78F4C200">
      <w:start w:val="1"/>
      <w:numFmt w:val="bullet"/>
      <w:lvlText w:val=""/>
      <w:lvlJc w:val="left"/>
      <w:pPr>
        <w:tabs>
          <w:tab w:val="num" w:pos="2880"/>
        </w:tabs>
        <w:ind w:left="2880" w:hanging="360"/>
      </w:pPr>
      <w:rPr>
        <w:rFonts w:ascii="Symbol" w:hAnsi="Symbol" w:hint="default"/>
      </w:rPr>
    </w:lvl>
    <w:lvl w:ilvl="4" w:tplc="2D188078">
      <w:start w:val="1"/>
      <w:numFmt w:val="bullet"/>
      <w:lvlText w:val=""/>
      <w:lvlJc w:val="left"/>
      <w:pPr>
        <w:tabs>
          <w:tab w:val="num" w:pos="3600"/>
        </w:tabs>
        <w:ind w:left="3600" w:hanging="360"/>
      </w:pPr>
      <w:rPr>
        <w:rFonts w:ascii="Symbol" w:hAnsi="Symbol" w:hint="default"/>
      </w:rPr>
    </w:lvl>
    <w:lvl w:ilvl="5" w:tplc="E50EF076">
      <w:start w:val="1"/>
      <w:numFmt w:val="bullet"/>
      <w:lvlText w:val=""/>
      <w:lvlJc w:val="left"/>
      <w:pPr>
        <w:tabs>
          <w:tab w:val="num" w:pos="4320"/>
        </w:tabs>
        <w:ind w:left="4320" w:hanging="360"/>
      </w:pPr>
      <w:rPr>
        <w:rFonts w:ascii="Symbol" w:hAnsi="Symbol" w:hint="default"/>
      </w:rPr>
    </w:lvl>
    <w:lvl w:ilvl="6" w:tplc="7FE847E4">
      <w:start w:val="1"/>
      <w:numFmt w:val="bullet"/>
      <w:lvlText w:val=""/>
      <w:lvlJc w:val="left"/>
      <w:pPr>
        <w:tabs>
          <w:tab w:val="num" w:pos="5040"/>
        </w:tabs>
        <w:ind w:left="5040" w:hanging="360"/>
      </w:pPr>
      <w:rPr>
        <w:rFonts w:ascii="Symbol" w:hAnsi="Symbol" w:hint="default"/>
      </w:rPr>
    </w:lvl>
    <w:lvl w:ilvl="7" w:tplc="6428E542">
      <w:start w:val="1"/>
      <w:numFmt w:val="bullet"/>
      <w:lvlText w:val=""/>
      <w:lvlJc w:val="left"/>
      <w:pPr>
        <w:tabs>
          <w:tab w:val="num" w:pos="5760"/>
        </w:tabs>
        <w:ind w:left="5760" w:hanging="360"/>
      </w:pPr>
      <w:rPr>
        <w:rFonts w:ascii="Symbol" w:hAnsi="Symbol" w:hint="default"/>
      </w:rPr>
    </w:lvl>
    <w:lvl w:ilvl="8" w:tplc="A484DAF6">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36"/>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20"/>
  </w:num>
  <w:num w:numId="12">
    <w:abstractNumId w:val="8"/>
  </w:num>
  <w:num w:numId="13">
    <w:abstractNumId w:val="19"/>
  </w:num>
  <w:num w:numId="14">
    <w:abstractNumId w:val="2"/>
  </w:num>
  <w:num w:numId="15">
    <w:abstractNumId w:val="40"/>
  </w:num>
  <w:num w:numId="16">
    <w:abstractNumId w:val="28"/>
  </w:num>
  <w:num w:numId="17">
    <w:abstractNumId w:val="11"/>
  </w:num>
  <w:num w:numId="18">
    <w:abstractNumId w:val="39"/>
  </w:num>
  <w:num w:numId="19">
    <w:abstractNumId w:val="27"/>
  </w:num>
  <w:num w:numId="20">
    <w:abstractNumId w:val="18"/>
  </w:num>
  <w:num w:numId="21">
    <w:abstractNumId w:val="30"/>
  </w:num>
  <w:num w:numId="22">
    <w:abstractNumId w:val="26"/>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1"/>
  </w:num>
  <w:num w:numId="26">
    <w:abstractNumId w:val="34"/>
  </w:num>
  <w:num w:numId="27">
    <w:abstractNumId w:val="7"/>
  </w:num>
  <w:num w:numId="28">
    <w:abstractNumId w:val="32"/>
  </w:num>
  <w:num w:numId="29">
    <w:abstractNumId w:val="21"/>
  </w:num>
  <w:num w:numId="30">
    <w:abstractNumId w:val="17"/>
  </w:num>
  <w:num w:numId="31">
    <w:abstractNumId w:val="25"/>
  </w:num>
  <w:num w:numId="32">
    <w:abstractNumId w:val="12"/>
  </w:num>
  <w:num w:numId="33">
    <w:abstractNumId w:val="3"/>
  </w:num>
  <w:num w:numId="34">
    <w:abstractNumId w:val="16"/>
  </w:num>
  <w:num w:numId="35">
    <w:abstractNumId w:val="9"/>
  </w:num>
  <w:num w:numId="36">
    <w:abstractNumId w:val="6"/>
  </w:num>
  <w:num w:numId="37">
    <w:abstractNumId w:val="38"/>
  </w:num>
  <w:num w:numId="38">
    <w:abstractNumId w:val="37"/>
  </w:num>
  <w:num w:numId="39">
    <w:abstractNumId w:val="35"/>
  </w:num>
  <w:num w:numId="40">
    <w:abstractNumId w:val="14"/>
  </w:num>
  <w:num w:numId="41">
    <w:abstractNumId w:val="24"/>
  </w:num>
  <w:num w:numId="4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06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9A"/>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8DA"/>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BE1"/>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772"/>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6CA"/>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E42"/>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3FE"/>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08D"/>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D32"/>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2E9"/>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D12"/>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D66"/>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6F7B"/>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3C"/>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60"/>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1EE"/>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CD2"/>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B94"/>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0C"/>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AA"/>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5EB7"/>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6C6"/>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E2C"/>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6ED"/>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257"/>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8E"/>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875"/>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1E7"/>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0E1"/>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9C1"/>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7C"/>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8C"/>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ADD"/>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5B"/>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A6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7815906">
      <w:bodyDiv w:val="1"/>
      <w:marLeft w:val="0"/>
      <w:marRight w:val="0"/>
      <w:marTop w:val="0"/>
      <w:marBottom w:val="0"/>
      <w:divBdr>
        <w:top w:val="none" w:sz="0" w:space="0" w:color="auto"/>
        <w:left w:val="none" w:sz="0" w:space="0" w:color="auto"/>
        <w:bottom w:val="none" w:sz="0" w:space="0" w:color="auto"/>
        <w:right w:val="none" w:sz="0" w:space="0" w:color="auto"/>
      </w:divBdr>
      <w:divsChild>
        <w:div w:id="1763408419">
          <w:marLeft w:val="360"/>
          <w:marRight w:val="0"/>
          <w:marTop w:val="200"/>
          <w:marBottom w:val="0"/>
          <w:divBdr>
            <w:top w:val="none" w:sz="0" w:space="0" w:color="auto"/>
            <w:left w:val="none" w:sz="0" w:space="0" w:color="auto"/>
            <w:bottom w:val="none" w:sz="0" w:space="0" w:color="auto"/>
            <w:right w:val="none" w:sz="0" w:space="0" w:color="auto"/>
          </w:divBdr>
        </w:div>
        <w:div w:id="697120802">
          <w:marLeft w:val="1080"/>
          <w:marRight w:val="0"/>
          <w:marTop w:val="100"/>
          <w:marBottom w:val="0"/>
          <w:divBdr>
            <w:top w:val="none" w:sz="0" w:space="0" w:color="auto"/>
            <w:left w:val="none" w:sz="0" w:space="0" w:color="auto"/>
            <w:bottom w:val="none" w:sz="0" w:space="0" w:color="auto"/>
            <w:right w:val="none" w:sz="0" w:space="0" w:color="auto"/>
          </w:divBdr>
        </w:div>
        <w:div w:id="1497189368">
          <w:marLeft w:val="1800"/>
          <w:marRight w:val="0"/>
          <w:marTop w:val="100"/>
          <w:marBottom w:val="0"/>
          <w:divBdr>
            <w:top w:val="none" w:sz="0" w:space="0" w:color="auto"/>
            <w:left w:val="none" w:sz="0" w:space="0" w:color="auto"/>
            <w:bottom w:val="none" w:sz="0" w:space="0" w:color="auto"/>
            <w:right w:val="none" w:sz="0" w:space="0" w:color="auto"/>
          </w:divBdr>
        </w:div>
        <w:div w:id="8601083">
          <w:marLeft w:val="2520"/>
          <w:marRight w:val="0"/>
          <w:marTop w:val="100"/>
          <w:marBottom w:val="0"/>
          <w:divBdr>
            <w:top w:val="none" w:sz="0" w:space="0" w:color="auto"/>
            <w:left w:val="none" w:sz="0" w:space="0" w:color="auto"/>
            <w:bottom w:val="none" w:sz="0" w:space="0" w:color="auto"/>
            <w:right w:val="none" w:sz="0" w:space="0" w:color="auto"/>
          </w:divBdr>
        </w:div>
        <w:div w:id="2128890988">
          <w:marLeft w:val="1800"/>
          <w:marRight w:val="0"/>
          <w:marTop w:val="100"/>
          <w:marBottom w:val="0"/>
          <w:divBdr>
            <w:top w:val="none" w:sz="0" w:space="0" w:color="auto"/>
            <w:left w:val="none" w:sz="0" w:space="0" w:color="auto"/>
            <w:bottom w:val="none" w:sz="0" w:space="0" w:color="auto"/>
            <w:right w:val="none" w:sz="0" w:space="0" w:color="auto"/>
          </w:divBdr>
        </w:div>
        <w:div w:id="1546719526">
          <w:marLeft w:val="2520"/>
          <w:marRight w:val="0"/>
          <w:marTop w:val="100"/>
          <w:marBottom w:val="0"/>
          <w:divBdr>
            <w:top w:val="none" w:sz="0" w:space="0" w:color="auto"/>
            <w:left w:val="none" w:sz="0" w:space="0" w:color="auto"/>
            <w:bottom w:val="none" w:sz="0" w:space="0" w:color="auto"/>
            <w:right w:val="none" w:sz="0" w:space="0" w:color="auto"/>
          </w:divBdr>
        </w:div>
        <w:div w:id="2130394779">
          <w:marLeft w:val="1800"/>
          <w:marRight w:val="0"/>
          <w:marTop w:val="100"/>
          <w:marBottom w:val="0"/>
          <w:divBdr>
            <w:top w:val="none" w:sz="0" w:space="0" w:color="auto"/>
            <w:left w:val="none" w:sz="0" w:space="0" w:color="auto"/>
            <w:bottom w:val="none" w:sz="0" w:space="0" w:color="auto"/>
            <w:right w:val="none" w:sz="0" w:space="0" w:color="auto"/>
          </w:divBdr>
        </w:div>
        <w:div w:id="1509832723">
          <w:marLeft w:val="2520"/>
          <w:marRight w:val="0"/>
          <w:marTop w:val="100"/>
          <w:marBottom w:val="0"/>
          <w:divBdr>
            <w:top w:val="none" w:sz="0" w:space="0" w:color="auto"/>
            <w:left w:val="none" w:sz="0" w:space="0" w:color="auto"/>
            <w:bottom w:val="none" w:sz="0" w:space="0" w:color="auto"/>
            <w:right w:val="none" w:sz="0" w:space="0" w:color="auto"/>
          </w:divBdr>
        </w:div>
        <w:div w:id="326250149">
          <w:marLeft w:val="2520"/>
          <w:marRight w:val="0"/>
          <w:marTop w:val="100"/>
          <w:marBottom w:val="0"/>
          <w:divBdr>
            <w:top w:val="none" w:sz="0" w:space="0" w:color="auto"/>
            <w:left w:val="none" w:sz="0" w:space="0" w:color="auto"/>
            <w:bottom w:val="none" w:sz="0" w:space="0" w:color="auto"/>
            <w:right w:val="none" w:sz="0" w:space="0" w:color="auto"/>
          </w:divBdr>
        </w:div>
        <w:div w:id="898437339">
          <w:marLeft w:val="360"/>
          <w:marRight w:val="0"/>
          <w:marTop w:val="200"/>
          <w:marBottom w:val="0"/>
          <w:divBdr>
            <w:top w:val="none" w:sz="0" w:space="0" w:color="auto"/>
            <w:left w:val="none" w:sz="0" w:space="0" w:color="auto"/>
            <w:bottom w:val="none" w:sz="0" w:space="0" w:color="auto"/>
            <w:right w:val="none" w:sz="0" w:space="0" w:color="auto"/>
          </w:divBdr>
        </w:div>
        <w:div w:id="1855458889">
          <w:marLeft w:val="1080"/>
          <w:marRight w:val="0"/>
          <w:marTop w:val="100"/>
          <w:marBottom w:val="0"/>
          <w:divBdr>
            <w:top w:val="none" w:sz="0" w:space="0" w:color="auto"/>
            <w:left w:val="none" w:sz="0" w:space="0" w:color="auto"/>
            <w:bottom w:val="none" w:sz="0" w:space="0" w:color="auto"/>
            <w:right w:val="none" w:sz="0" w:space="0" w:color="auto"/>
          </w:divBdr>
        </w:div>
        <w:div w:id="1407798459">
          <w:marLeft w:val="1800"/>
          <w:marRight w:val="0"/>
          <w:marTop w:val="100"/>
          <w:marBottom w:val="0"/>
          <w:divBdr>
            <w:top w:val="none" w:sz="0" w:space="0" w:color="auto"/>
            <w:left w:val="none" w:sz="0" w:space="0" w:color="auto"/>
            <w:bottom w:val="none" w:sz="0" w:space="0" w:color="auto"/>
            <w:right w:val="none" w:sz="0" w:space="0" w:color="auto"/>
          </w:divBdr>
        </w:div>
        <w:div w:id="1977679984">
          <w:marLeft w:val="2520"/>
          <w:marRight w:val="0"/>
          <w:marTop w:val="100"/>
          <w:marBottom w:val="0"/>
          <w:divBdr>
            <w:top w:val="none" w:sz="0" w:space="0" w:color="auto"/>
            <w:left w:val="none" w:sz="0" w:space="0" w:color="auto"/>
            <w:bottom w:val="none" w:sz="0" w:space="0" w:color="auto"/>
            <w:right w:val="none" w:sz="0" w:space="0" w:color="auto"/>
          </w:divBdr>
        </w:div>
        <w:div w:id="870730481">
          <w:marLeft w:val="1800"/>
          <w:marRight w:val="0"/>
          <w:marTop w:val="100"/>
          <w:marBottom w:val="0"/>
          <w:divBdr>
            <w:top w:val="none" w:sz="0" w:space="0" w:color="auto"/>
            <w:left w:val="none" w:sz="0" w:space="0" w:color="auto"/>
            <w:bottom w:val="none" w:sz="0" w:space="0" w:color="auto"/>
            <w:right w:val="none" w:sz="0" w:space="0" w:color="auto"/>
          </w:divBdr>
        </w:div>
        <w:div w:id="381177168">
          <w:marLeft w:val="2520"/>
          <w:marRight w:val="0"/>
          <w:marTop w:val="100"/>
          <w:marBottom w:val="0"/>
          <w:divBdr>
            <w:top w:val="none" w:sz="0" w:space="0" w:color="auto"/>
            <w:left w:val="none" w:sz="0" w:space="0" w:color="auto"/>
            <w:bottom w:val="none" w:sz="0" w:space="0" w:color="auto"/>
            <w:right w:val="none" w:sz="0" w:space="0" w:color="auto"/>
          </w:divBdr>
        </w:div>
        <w:div w:id="121581791">
          <w:marLeft w:val="1800"/>
          <w:marRight w:val="0"/>
          <w:marTop w:val="100"/>
          <w:marBottom w:val="0"/>
          <w:divBdr>
            <w:top w:val="none" w:sz="0" w:space="0" w:color="auto"/>
            <w:left w:val="none" w:sz="0" w:space="0" w:color="auto"/>
            <w:bottom w:val="none" w:sz="0" w:space="0" w:color="auto"/>
            <w:right w:val="none" w:sz="0" w:space="0" w:color="auto"/>
          </w:divBdr>
        </w:div>
        <w:div w:id="1934046588">
          <w:marLeft w:val="2520"/>
          <w:marRight w:val="0"/>
          <w:marTop w:val="100"/>
          <w:marBottom w:val="0"/>
          <w:divBdr>
            <w:top w:val="none" w:sz="0" w:space="0" w:color="auto"/>
            <w:left w:val="none" w:sz="0" w:space="0" w:color="auto"/>
            <w:bottom w:val="none" w:sz="0" w:space="0" w:color="auto"/>
            <w:right w:val="none" w:sz="0" w:space="0" w:color="auto"/>
          </w:divBdr>
        </w:div>
        <w:div w:id="166361508">
          <w:marLeft w:val="2520"/>
          <w:marRight w:val="0"/>
          <w:marTop w:val="10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8525209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96">
          <w:marLeft w:val="360"/>
          <w:marRight w:val="0"/>
          <w:marTop w:val="200"/>
          <w:marBottom w:val="0"/>
          <w:divBdr>
            <w:top w:val="none" w:sz="0" w:space="0" w:color="auto"/>
            <w:left w:val="none" w:sz="0" w:space="0" w:color="auto"/>
            <w:bottom w:val="none" w:sz="0" w:space="0" w:color="auto"/>
            <w:right w:val="none" w:sz="0" w:space="0" w:color="auto"/>
          </w:divBdr>
        </w:div>
        <w:div w:id="1662653765">
          <w:marLeft w:val="1080"/>
          <w:marRight w:val="0"/>
          <w:marTop w:val="100"/>
          <w:marBottom w:val="0"/>
          <w:divBdr>
            <w:top w:val="none" w:sz="0" w:space="0" w:color="auto"/>
            <w:left w:val="none" w:sz="0" w:space="0" w:color="auto"/>
            <w:bottom w:val="none" w:sz="0" w:space="0" w:color="auto"/>
            <w:right w:val="none" w:sz="0" w:space="0" w:color="auto"/>
          </w:divBdr>
        </w:div>
        <w:div w:id="727339498">
          <w:marLeft w:val="1800"/>
          <w:marRight w:val="0"/>
          <w:marTop w:val="100"/>
          <w:marBottom w:val="0"/>
          <w:divBdr>
            <w:top w:val="none" w:sz="0" w:space="0" w:color="auto"/>
            <w:left w:val="none" w:sz="0" w:space="0" w:color="auto"/>
            <w:bottom w:val="none" w:sz="0" w:space="0" w:color="auto"/>
            <w:right w:val="none" w:sz="0" w:space="0" w:color="auto"/>
          </w:divBdr>
        </w:div>
        <w:div w:id="324666937">
          <w:marLeft w:val="2520"/>
          <w:marRight w:val="0"/>
          <w:marTop w:val="100"/>
          <w:marBottom w:val="0"/>
          <w:divBdr>
            <w:top w:val="none" w:sz="0" w:space="0" w:color="auto"/>
            <w:left w:val="none" w:sz="0" w:space="0" w:color="auto"/>
            <w:bottom w:val="none" w:sz="0" w:space="0" w:color="auto"/>
            <w:right w:val="none" w:sz="0" w:space="0" w:color="auto"/>
          </w:divBdr>
        </w:div>
        <w:div w:id="855078050">
          <w:marLeft w:val="1800"/>
          <w:marRight w:val="0"/>
          <w:marTop w:val="100"/>
          <w:marBottom w:val="0"/>
          <w:divBdr>
            <w:top w:val="none" w:sz="0" w:space="0" w:color="auto"/>
            <w:left w:val="none" w:sz="0" w:space="0" w:color="auto"/>
            <w:bottom w:val="none" w:sz="0" w:space="0" w:color="auto"/>
            <w:right w:val="none" w:sz="0" w:space="0" w:color="auto"/>
          </w:divBdr>
        </w:div>
        <w:div w:id="2132896698">
          <w:marLeft w:val="2520"/>
          <w:marRight w:val="0"/>
          <w:marTop w:val="100"/>
          <w:marBottom w:val="0"/>
          <w:divBdr>
            <w:top w:val="none" w:sz="0" w:space="0" w:color="auto"/>
            <w:left w:val="none" w:sz="0" w:space="0" w:color="auto"/>
            <w:bottom w:val="none" w:sz="0" w:space="0" w:color="auto"/>
            <w:right w:val="none" w:sz="0" w:space="0" w:color="auto"/>
          </w:divBdr>
        </w:div>
        <w:div w:id="15739931">
          <w:marLeft w:val="1800"/>
          <w:marRight w:val="0"/>
          <w:marTop w:val="100"/>
          <w:marBottom w:val="0"/>
          <w:divBdr>
            <w:top w:val="none" w:sz="0" w:space="0" w:color="auto"/>
            <w:left w:val="none" w:sz="0" w:space="0" w:color="auto"/>
            <w:bottom w:val="none" w:sz="0" w:space="0" w:color="auto"/>
            <w:right w:val="none" w:sz="0" w:space="0" w:color="auto"/>
          </w:divBdr>
        </w:div>
        <w:div w:id="428236481">
          <w:marLeft w:val="2520"/>
          <w:marRight w:val="0"/>
          <w:marTop w:val="100"/>
          <w:marBottom w:val="0"/>
          <w:divBdr>
            <w:top w:val="none" w:sz="0" w:space="0" w:color="auto"/>
            <w:left w:val="none" w:sz="0" w:space="0" w:color="auto"/>
            <w:bottom w:val="none" w:sz="0" w:space="0" w:color="auto"/>
            <w:right w:val="none" w:sz="0" w:space="0" w:color="auto"/>
          </w:divBdr>
        </w:div>
        <w:div w:id="635836980">
          <w:marLeft w:val="2520"/>
          <w:marRight w:val="0"/>
          <w:marTop w:val="10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1654363">
      <w:bodyDiv w:val="1"/>
      <w:marLeft w:val="0"/>
      <w:marRight w:val="0"/>
      <w:marTop w:val="0"/>
      <w:marBottom w:val="0"/>
      <w:divBdr>
        <w:top w:val="none" w:sz="0" w:space="0" w:color="auto"/>
        <w:left w:val="none" w:sz="0" w:space="0" w:color="auto"/>
        <w:bottom w:val="none" w:sz="0" w:space="0" w:color="auto"/>
        <w:right w:val="none" w:sz="0" w:space="0" w:color="auto"/>
      </w:divBdr>
      <w:divsChild>
        <w:div w:id="2024941014">
          <w:marLeft w:val="360"/>
          <w:marRight w:val="0"/>
          <w:marTop w:val="200"/>
          <w:marBottom w:val="0"/>
          <w:divBdr>
            <w:top w:val="none" w:sz="0" w:space="0" w:color="auto"/>
            <w:left w:val="none" w:sz="0" w:space="0" w:color="auto"/>
            <w:bottom w:val="none" w:sz="0" w:space="0" w:color="auto"/>
            <w:right w:val="none" w:sz="0" w:space="0" w:color="auto"/>
          </w:divBdr>
        </w:div>
        <w:div w:id="93324078">
          <w:marLeft w:val="1080"/>
          <w:marRight w:val="0"/>
          <w:marTop w:val="100"/>
          <w:marBottom w:val="0"/>
          <w:divBdr>
            <w:top w:val="none" w:sz="0" w:space="0" w:color="auto"/>
            <w:left w:val="none" w:sz="0" w:space="0" w:color="auto"/>
            <w:bottom w:val="none" w:sz="0" w:space="0" w:color="auto"/>
            <w:right w:val="none" w:sz="0" w:space="0" w:color="auto"/>
          </w:divBdr>
        </w:div>
        <w:div w:id="1321234492">
          <w:marLeft w:val="1080"/>
          <w:marRight w:val="0"/>
          <w:marTop w:val="100"/>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8688D-D297-40D2-860E-524723F9A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3</Pages>
  <Words>698</Words>
  <Characters>3828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26</cp:revision>
  <cp:lastPrinted>2009-04-22T21:01:00Z</cp:lastPrinted>
  <dcterms:created xsi:type="dcterms:W3CDTF">2020-05-13T03:19:00Z</dcterms:created>
  <dcterms:modified xsi:type="dcterms:W3CDTF">2020-05-15T21:57:00Z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